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1EB" w:rsidRDefault="002851EB" w:rsidP="002851EB">
      <w:pPr>
        <w:pStyle w:val="Default"/>
        <w:jc w:val="right"/>
        <w:rPr>
          <w:sz w:val="40"/>
          <w:szCs w:val="48"/>
        </w:rPr>
      </w:pPr>
      <w:r>
        <w:rPr>
          <w:rFonts w:ascii="Verdana" w:hAnsi="Verdana"/>
          <w:noProof/>
          <w:sz w:val="18"/>
          <w:szCs w:val="18"/>
        </w:rPr>
        <w:drawing>
          <wp:inline distT="0" distB="0" distL="0" distR="0">
            <wp:extent cx="1476375" cy="476250"/>
            <wp:effectExtent l="0" t="0" r="9525" b="0"/>
            <wp:docPr id="1" name="Picture 1" descr="Environmental Risk Management Authority New Zealand logo">
              <a:hlinkClick xmlns:a="http://schemas.openxmlformats.org/drawingml/2006/main" r:id="rId6" tooltip="&quot;Return to Environmental Risk Management Authority New Zealand Home p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Environmental Risk Management Authority New Zealand logo">
                      <a:hlinkClick r:id="rId6" tooltip="&quot;Return to Environmental Risk Management Authority New Zealand Home page&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a:ln>
                      <a:noFill/>
                    </a:ln>
                  </pic:spPr>
                </pic:pic>
              </a:graphicData>
            </a:graphic>
          </wp:inline>
        </w:drawing>
      </w:r>
    </w:p>
    <w:p w:rsidR="00BB2135" w:rsidRDefault="00BC624B" w:rsidP="00BB2135">
      <w:pPr>
        <w:pStyle w:val="NormalWeb"/>
        <w:spacing w:before="0" w:after="0" w:line="280" w:lineRule="exact"/>
        <w:rPr>
          <w:rFonts w:ascii="Verdana" w:hAnsi="Verdana"/>
          <w:sz w:val="18"/>
          <w:szCs w:val="18"/>
        </w:rPr>
      </w:pPr>
      <w:r w:rsidRPr="00627A66">
        <w:rPr>
          <w:noProof/>
        </w:rPr>
        <mc:AlternateContent>
          <mc:Choice Requires="wps">
            <w:drawing>
              <wp:anchor distT="0" distB="0" distL="114300" distR="114300" simplePos="0" relativeHeight="251658240" behindDoc="0" locked="0" layoutInCell="1" allowOverlap="1" wp14:anchorId="0FBE818B" wp14:editId="1A7C7B27">
                <wp:simplePos x="0" y="0"/>
                <wp:positionH relativeFrom="column">
                  <wp:posOffset>-80010</wp:posOffset>
                </wp:positionH>
                <wp:positionV relativeFrom="paragraph">
                  <wp:posOffset>257175</wp:posOffset>
                </wp:positionV>
                <wp:extent cx="6040120" cy="94773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0120" cy="9477375"/>
                        </a:xfrm>
                        <a:prstGeom prst="rect">
                          <a:avLst/>
                        </a:prstGeom>
                        <a:solidFill>
                          <a:srgbClr val="FFFFFF"/>
                        </a:solidFill>
                        <a:ln w="9525">
                          <a:noFill/>
                          <a:miter lim="800000"/>
                          <a:headEnd/>
                          <a:tailEnd/>
                        </a:ln>
                      </wps:spPr>
                      <wps:txbx>
                        <w:txbxContent>
                          <w:p w:rsidR="00031061" w:rsidRDefault="00031061" w:rsidP="00031061">
                            <w:pPr>
                              <w:pStyle w:val="NormalWeb"/>
                              <w:spacing w:before="0" w:after="0" w:line="280" w:lineRule="exact"/>
                            </w:pPr>
                            <w:bookmarkStart w:id="0" w:name="OLE_LINK1"/>
                            <w:r w:rsidRPr="00627A66">
                              <w:t>GAZETTED AMENDMENT</w:t>
                            </w:r>
                            <w:r>
                              <w:t>S</w:t>
                            </w:r>
                          </w:p>
                          <w:p w:rsidR="00031061" w:rsidRPr="00BB2135" w:rsidRDefault="00031061" w:rsidP="00031061">
                            <w:pPr>
                              <w:pStyle w:val="NormalWeb"/>
                              <w:spacing w:before="0" w:after="0" w:line="280" w:lineRule="exact"/>
                            </w:pPr>
                            <w:r w:rsidRPr="00BB2135">
                              <w:t>Under the Hazardous Substances and New Organisms (HSNO) Act 1996 there are regulations for controlling hazardous substances. These relate to the life-cycle of a substance through manufacturing, packaging, storage, transport, use and disposal.</w:t>
                            </w:r>
                          </w:p>
                          <w:p w:rsidR="00031061" w:rsidRPr="00BB2135" w:rsidRDefault="00031061" w:rsidP="00031061">
                            <w:pPr>
                              <w:pStyle w:val="NormalWeb"/>
                              <w:spacing w:before="0" w:after="0" w:line="280" w:lineRule="exact"/>
                            </w:pPr>
                          </w:p>
                          <w:p w:rsidR="00031061" w:rsidRPr="00BB2135" w:rsidRDefault="00031061" w:rsidP="00031061">
                            <w:pPr>
                              <w:pStyle w:val="NormalWeb"/>
                              <w:spacing w:before="0" w:after="0" w:line="280" w:lineRule="exact"/>
                            </w:pPr>
                            <w:r w:rsidRPr="00BB2135">
                              <w:t xml:space="preserve">These regulations are listed below. They are available through the </w:t>
                            </w:r>
                            <w:hyperlink r:id="rId8" w:history="1">
                              <w:r w:rsidRPr="00BB2135">
                                <w:rPr>
                                  <w:rStyle w:val="Hyperlink"/>
                                </w:rPr>
                                <w:t>regulations section</w:t>
                              </w:r>
                            </w:hyperlink>
                            <w:r w:rsidRPr="00BB2135">
                              <w:t xml:space="preserve"> of the New Zealand </w:t>
                            </w:r>
                            <w:hyperlink r:id="rId9" w:history="1">
                              <w:r w:rsidRPr="00BB2135">
                                <w:rPr>
                                  <w:rStyle w:val="Hyperlink"/>
                                </w:rPr>
                                <w:t>Public Access to Legislation</w:t>
                              </w:r>
                            </w:hyperlink>
                            <w:r w:rsidRPr="00BB2135">
                              <w:t xml:space="preserve"> website.</w:t>
                            </w:r>
                          </w:p>
                          <w:p w:rsidR="00031061" w:rsidRPr="00BB2135" w:rsidRDefault="00031061" w:rsidP="00031061">
                            <w:pPr>
                              <w:pStyle w:val="NormalWeb"/>
                              <w:spacing w:before="0" w:after="0" w:line="280" w:lineRule="exact"/>
                            </w:pPr>
                          </w:p>
                          <w:p w:rsidR="00031061" w:rsidRPr="00BB2135" w:rsidRDefault="00031061" w:rsidP="00031061">
                            <w:pPr>
                              <w:numPr>
                                <w:ilvl w:val="0"/>
                                <w:numId w:val="1"/>
                              </w:numPr>
                              <w:tabs>
                                <w:tab w:val="clear" w:pos="720"/>
                              </w:tabs>
                              <w:spacing w:line="280" w:lineRule="exact"/>
                              <w:ind w:left="0" w:firstLine="0"/>
                            </w:pPr>
                            <w:r w:rsidRPr="00BB2135">
                              <w:t>Hazardous Substances (Classes 1 to 5 Controls)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(Classes 6, 8 and 9 Controls)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(Identification)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(Packaging)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(Disposal)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(Emergency Management)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(Tracking)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and New Organisms (Personnel Qualifications)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(Compressed Gases) Regulations 2004</w:t>
                            </w:r>
                          </w:p>
                          <w:p w:rsidR="00031061" w:rsidRPr="00BB2135" w:rsidRDefault="00031061" w:rsidP="00031061">
                            <w:pPr>
                              <w:numPr>
                                <w:ilvl w:val="0"/>
                                <w:numId w:val="1"/>
                              </w:numPr>
                              <w:tabs>
                                <w:tab w:val="clear" w:pos="720"/>
                              </w:tabs>
                              <w:spacing w:line="280" w:lineRule="exact"/>
                              <w:ind w:left="0" w:firstLine="0"/>
                            </w:pPr>
                            <w:r w:rsidRPr="00BB2135">
                              <w:t>Hazardous Substances (Tank Wagon and Transportable Containers) Regulations 2004</w:t>
                            </w:r>
                          </w:p>
                          <w:p w:rsidR="00031061" w:rsidRDefault="00031061" w:rsidP="00031061">
                            <w:pPr>
                              <w:pStyle w:val="NormalWeb"/>
                              <w:spacing w:before="0" w:after="0" w:line="280" w:lineRule="exact"/>
                            </w:pPr>
                          </w:p>
                          <w:p w:rsidR="00031061" w:rsidRDefault="00031061" w:rsidP="00031061">
                            <w:pPr>
                              <w:pStyle w:val="NormalWeb"/>
                              <w:spacing w:before="0" w:after="0" w:line="280" w:lineRule="exact"/>
                            </w:pPr>
                            <w:r w:rsidRPr="00BB2135">
                              <w:t xml:space="preserve">In addition to these regulations, a hazardous substance may also need to comply with other controls; for example, if the substance is flammable or is a liquid or gas stored in large tanks. These additional controls were first published in the Hazardous Substances (Dangerous Goods and Scheduled Toxic Substances) Transfer Notice 2004 (New Zealand Gazette, Issue No. 35, March 2004) as Schedules 8 to 10 and 12. </w:t>
                            </w:r>
                          </w:p>
                          <w:p w:rsidR="00031061" w:rsidRDefault="00031061" w:rsidP="00031061">
                            <w:pPr>
                              <w:pStyle w:val="NormalWeb"/>
                              <w:spacing w:before="0" w:after="0" w:line="280" w:lineRule="exact"/>
                            </w:pPr>
                            <w:bookmarkStart w:id="1" w:name="_GoBack"/>
                            <w:bookmarkEnd w:id="1"/>
                          </w:p>
                          <w:p w:rsidR="00031061" w:rsidRPr="00BB2135" w:rsidRDefault="00031061" w:rsidP="00031061">
                            <w:pPr>
                              <w:pStyle w:val="NormalWeb"/>
                              <w:spacing w:before="0" w:after="0" w:line="280" w:lineRule="exact"/>
                            </w:pPr>
                            <w:r w:rsidRPr="00BB2135">
                              <w:t xml:space="preserve">There have been subsequent amendments to this Gazette Notice which have been consolidated into one </w:t>
                            </w:r>
                            <w:r w:rsidRPr="00284BAE">
                              <w:rPr>
                                <w:color w:val="365F91"/>
                              </w:rPr>
                              <w:t>DOCUMENT</w:t>
                            </w:r>
                            <w:r w:rsidRPr="00BB2135">
                              <w:t>. (</w:t>
                            </w:r>
                            <w:proofErr w:type="gramStart"/>
                            <w:r w:rsidRPr="00BB2135">
                              <w:t>as</w:t>
                            </w:r>
                            <w:proofErr w:type="gramEnd"/>
                            <w:r w:rsidRPr="00BB2135">
                              <w:t xml:space="preserve"> per the link referred to in the Notes below)</w:t>
                            </w:r>
                          </w:p>
                          <w:p w:rsidR="00031061" w:rsidRDefault="00031061" w:rsidP="00031061">
                            <w:pPr>
                              <w:pStyle w:val="Default"/>
                            </w:pPr>
                          </w:p>
                          <w:p w:rsidR="00031061" w:rsidRDefault="00031061" w:rsidP="00031061">
                            <w:pPr>
                              <w:pStyle w:val="Default"/>
                            </w:pPr>
                            <w:r w:rsidRPr="00BB2135">
                              <w:rPr>
                                <w:b/>
                              </w:rPr>
                              <w:t>OVERVIEW OF THE DOCUMENT</w:t>
                            </w:r>
                            <w:r>
                              <w:t xml:space="preserve"> –</w:t>
                            </w:r>
                          </w:p>
                          <w:p w:rsidR="00031061" w:rsidRPr="002851EB" w:rsidRDefault="00031061" w:rsidP="00031061">
                            <w:pPr>
                              <w:pStyle w:val="Default"/>
                            </w:pPr>
                          </w:p>
                          <w:p w:rsidR="00031061" w:rsidRPr="00BB2135" w:rsidRDefault="00031061" w:rsidP="00031061">
                            <w:pPr>
                              <w:pStyle w:val="Default"/>
                              <w:jc w:val="center"/>
                              <w:rPr>
                                <w:b/>
                                <w:sz w:val="28"/>
                                <w:szCs w:val="48"/>
                              </w:rPr>
                            </w:pPr>
                            <w:r w:rsidRPr="00BB2135">
                              <w:rPr>
                                <w:b/>
                                <w:sz w:val="28"/>
                                <w:szCs w:val="48"/>
                              </w:rPr>
                              <w:t xml:space="preserve">Summary of Approvals of Substances transferred under the Hazardous Substances (Dangerous Goods and Scheduled Toxic Substances) Transfer Notice 2004 </w:t>
                            </w:r>
                            <w:r w:rsidRPr="00BB2135">
                              <w:rPr>
                                <w:b/>
                                <w:sz w:val="28"/>
                                <w:szCs w:val="48"/>
                              </w:rPr>
                              <w:br/>
                              <w:t>(As Amended)</w:t>
                            </w:r>
                          </w:p>
                          <w:p w:rsidR="00031061" w:rsidRPr="002851EB" w:rsidRDefault="00031061" w:rsidP="00031061">
                            <w:pPr>
                              <w:pStyle w:val="Default"/>
                              <w:jc w:val="center"/>
                              <w:rPr>
                                <w:sz w:val="10"/>
                                <w:szCs w:val="48"/>
                              </w:rPr>
                            </w:pPr>
                          </w:p>
                          <w:p w:rsidR="00031061" w:rsidRPr="002851EB" w:rsidRDefault="00031061" w:rsidP="00031061">
                            <w:pPr>
                              <w:pStyle w:val="Default"/>
                              <w:jc w:val="center"/>
                              <w:rPr>
                                <w:szCs w:val="48"/>
                              </w:rPr>
                            </w:pPr>
                            <w:r w:rsidRPr="002851EB">
                              <w:rPr>
                                <w:szCs w:val="48"/>
                              </w:rPr>
                              <w:t xml:space="preserve">As at 15 December 2008 </w:t>
                            </w:r>
                          </w:p>
                          <w:p w:rsidR="00031061" w:rsidRDefault="00031061" w:rsidP="00031061">
                            <w:pPr>
                              <w:pStyle w:val="Default"/>
                              <w:spacing w:before="240" w:after="40"/>
                              <w:jc w:val="both"/>
                              <w:rPr>
                                <w:sz w:val="20"/>
                                <w:szCs w:val="20"/>
                              </w:rPr>
                            </w:pPr>
                            <w:r>
                              <w:rPr>
                                <w:b/>
                                <w:bCs/>
                                <w:sz w:val="20"/>
                                <w:szCs w:val="20"/>
                              </w:rPr>
                              <w:t xml:space="preserve">NOTES: </w:t>
                            </w:r>
                          </w:p>
                          <w:p w:rsidR="00031061" w:rsidRPr="00BB2135" w:rsidRDefault="00031061" w:rsidP="00031061">
                            <w:pPr>
                              <w:pStyle w:val="Default"/>
                              <w:spacing w:before="240" w:after="40"/>
                              <w:jc w:val="both"/>
                              <w:rPr>
                                <w:bCs/>
                              </w:rPr>
                            </w:pPr>
                            <w:r w:rsidRPr="00BB2135">
                              <w:rPr>
                                <w:bCs/>
                              </w:rPr>
                              <w:t xml:space="preserve">This </w:t>
                            </w:r>
                            <w:hyperlink r:id="rId10" w:history="1">
                              <w:r w:rsidRPr="00BB2135">
                                <w:rPr>
                                  <w:rStyle w:val="Hyperlink"/>
                                  <w:bCs/>
                                </w:rPr>
                                <w:t>document</w:t>
                              </w:r>
                            </w:hyperlink>
                            <w:r w:rsidRPr="00BB2135">
                              <w:rPr>
                                <w:bCs/>
                              </w:rPr>
                              <w:t xml:space="preserve"> sets out the classifications, variation codes and controls relating to the substances approved under the HSNO Act by virtue of the Hazardous Substances (Dangerous Goods and Scheduled Toxic Substances) Transfer Notice 2004 (As Amended). It takes into account amendments made to the approvals and related controls contained in the Transfer Notice, made under section 67A of the HSNO Act. Those approvals which have been amended under section 67A are denoted by a superscript ‘s67A’. </w:t>
                            </w:r>
                          </w:p>
                          <w:p w:rsidR="00031061" w:rsidRPr="00BB2135" w:rsidRDefault="00031061" w:rsidP="00031061">
                            <w:pPr>
                              <w:pStyle w:val="Default"/>
                              <w:spacing w:after="40"/>
                              <w:jc w:val="both"/>
                              <w:rPr>
                                <w:sz w:val="2"/>
                              </w:rPr>
                            </w:pPr>
                          </w:p>
                          <w:p w:rsidR="00031061" w:rsidRDefault="00031061" w:rsidP="00031061">
                            <w:pPr>
                              <w:pStyle w:val="Default"/>
                              <w:spacing w:before="40"/>
                              <w:jc w:val="both"/>
                              <w:rPr>
                                <w:b/>
                                <w:bCs/>
                              </w:rPr>
                            </w:pPr>
                            <w:r w:rsidRPr="00BB2135">
                              <w:rPr>
                                <w:b/>
                                <w:bCs/>
                              </w:rPr>
                              <w:t xml:space="preserve">This document has been produced by ERMA New Zealand as an information resource only. </w:t>
                            </w:r>
                          </w:p>
                          <w:p w:rsidR="00031061" w:rsidRPr="00BB2135" w:rsidRDefault="00031061" w:rsidP="00031061">
                            <w:pPr>
                              <w:pStyle w:val="Default"/>
                              <w:spacing w:before="40"/>
                              <w:jc w:val="both"/>
                              <w:rPr>
                                <w:b/>
                                <w:bCs/>
                                <w:sz w:val="2"/>
                              </w:rPr>
                            </w:pPr>
                          </w:p>
                          <w:p w:rsidR="00031061" w:rsidRPr="00BB2135" w:rsidRDefault="00031061" w:rsidP="00031061">
                            <w:pPr>
                              <w:pStyle w:val="Default"/>
                              <w:spacing w:before="40"/>
                              <w:jc w:val="both"/>
                            </w:pPr>
                            <w:r w:rsidRPr="00BB2135">
                              <w:rPr>
                                <w:bCs/>
                              </w:rPr>
                              <w:t xml:space="preserve">ERMA New Zealand endeavours to keep this document accurate and up-to-date, but accepts no responsibility for any errors or omissions which may have occurred in its production. </w:t>
                            </w:r>
                          </w:p>
                          <w:p w:rsidR="00031061" w:rsidRPr="00BB2135" w:rsidRDefault="00031061" w:rsidP="00031061">
                            <w:pPr>
                              <w:pStyle w:val="Default"/>
                              <w:rPr>
                                <w:bCs/>
                              </w:rPr>
                            </w:pPr>
                            <w:r w:rsidRPr="00BB2135">
                              <w:rPr>
                                <w:bCs/>
                              </w:rPr>
                              <w:t xml:space="preserve">If you would like a copy of a section 67A decision document or need further information in respect to any amendment to an approval referred to in this document, please contact ERMA New Zealand using the </w:t>
                            </w:r>
                            <w:hyperlink r:id="rId11" w:history="1">
                              <w:r w:rsidRPr="00BB2135">
                                <w:rPr>
                                  <w:rStyle w:val="Hyperlink"/>
                                  <w:bCs/>
                                </w:rPr>
                                <w:t>Contact Us</w:t>
                              </w:r>
                            </w:hyperlink>
                            <w:r w:rsidRPr="00BB2135">
                              <w:rPr>
                                <w:bCs/>
                              </w:rPr>
                              <w:t xml:space="preserve">  page on the ERMA website. </w:t>
                            </w:r>
                          </w:p>
                          <w:bookmarkEnd w:id="0"/>
                          <w:p w:rsidR="00031061" w:rsidRDefault="0003106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20.25pt;width:475.6pt;height:74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" stroked="f">
                <v:textbox>
                  <w:txbxContent>
                    <w:p w:rsidR="00031061" w:rsidRDefault="00031061" w:rsidP="00031061">
                      <w:pPr>
                        <w:pStyle w:val="NormalWeb"/>
                        <w:spacing w:before="0" w:after="0" w:line="280" w:lineRule="exact"/>
                      </w:pPr>
                      <w:bookmarkStart w:id="2" w:name="OLE_LINK1"/>
                      <w:r w:rsidRPr="00627A66">
                        <w:t>GAZETTED AMENDMENT</w:t>
                      </w:r>
                      <w:r>
                        <w:t>S</w:t>
                      </w:r>
                    </w:p>
                    <w:p w:rsidR="00031061" w:rsidRPr="00BB2135" w:rsidRDefault="00031061" w:rsidP="00031061">
                      <w:pPr>
                        <w:pStyle w:val="NormalWeb"/>
                        <w:spacing w:before="0" w:after="0" w:line="280" w:lineRule="exact"/>
                      </w:pPr>
                      <w:r w:rsidRPr="00BB2135">
                        <w:t>Under the Hazardous Substances and New Organisms (HSNO) Act 1996 there are regulations for controlling hazardous substances. These relate to the life-cycle of a substance through manufacturing, packaging, storage, transport, use and disposal.</w:t>
                      </w:r>
                    </w:p>
                    <w:p w:rsidR="00031061" w:rsidRPr="00BB2135" w:rsidRDefault="00031061" w:rsidP="00031061">
                      <w:pPr>
                        <w:pStyle w:val="NormalWeb"/>
                        <w:spacing w:before="0" w:after="0" w:line="280" w:lineRule="exact"/>
                      </w:pPr>
                    </w:p>
                    <w:p w:rsidR="00031061" w:rsidRPr="00BB2135" w:rsidRDefault="00031061" w:rsidP="00031061">
                      <w:pPr>
                        <w:pStyle w:val="NormalWeb"/>
                        <w:spacing w:before="0" w:after="0" w:line="280" w:lineRule="exact"/>
                      </w:pPr>
                      <w:r w:rsidRPr="00BB2135">
                        <w:t xml:space="preserve">These regulations are listed below. They are available through the </w:t>
                      </w:r>
                      <w:hyperlink r:id="rId12" w:history="1">
                        <w:r w:rsidRPr="00BB2135">
                          <w:rPr>
                            <w:rStyle w:val="Hyperlink"/>
                          </w:rPr>
                          <w:t>regulations section</w:t>
                        </w:r>
                      </w:hyperlink>
                      <w:r w:rsidRPr="00BB2135">
                        <w:t xml:space="preserve"> of the New Zealand </w:t>
                      </w:r>
                      <w:hyperlink r:id="rId13" w:history="1">
                        <w:r w:rsidRPr="00BB2135">
                          <w:rPr>
                            <w:rStyle w:val="Hyperlink"/>
                          </w:rPr>
                          <w:t>Public Access to Legislation</w:t>
                        </w:r>
                      </w:hyperlink>
                      <w:r w:rsidRPr="00BB2135">
                        <w:t xml:space="preserve"> website.</w:t>
                      </w:r>
                    </w:p>
                    <w:p w:rsidR="00031061" w:rsidRPr="00BB2135" w:rsidRDefault="00031061" w:rsidP="00031061">
                      <w:pPr>
                        <w:pStyle w:val="NormalWeb"/>
                        <w:spacing w:before="0" w:after="0" w:line="280" w:lineRule="exact"/>
                      </w:pPr>
                    </w:p>
                    <w:p w:rsidR="00031061" w:rsidRPr="00BB2135" w:rsidRDefault="00031061" w:rsidP="00031061">
                      <w:pPr>
                        <w:numPr>
                          <w:ilvl w:val="0"/>
                          <w:numId w:val="1"/>
                        </w:numPr>
                        <w:tabs>
                          <w:tab w:val="clear" w:pos="720"/>
                        </w:tabs>
                        <w:spacing w:line="280" w:lineRule="exact"/>
                        <w:ind w:left="0" w:firstLine="0"/>
                      </w:pPr>
                      <w:r w:rsidRPr="00BB2135">
                        <w:t>Hazardous Substances (Classes 1 to 5 Controls)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(Classes 6, 8 and 9 Controls)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(Identification)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(Packaging)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(Disposal)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(Emergency Management)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(Tracking)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and New Organisms (Personnel Qualifications) Regulations 2001</w:t>
                      </w:r>
                    </w:p>
                    <w:p w:rsidR="00031061" w:rsidRPr="00BB2135" w:rsidRDefault="00031061" w:rsidP="00031061">
                      <w:pPr>
                        <w:numPr>
                          <w:ilvl w:val="0"/>
                          <w:numId w:val="1"/>
                        </w:numPr>
                        <w:tabs>
                          <w:tab w:val="clear" w:pos="720"/>
                        </w:tabs>
                        <w:spacing w:line="280" w:lineRule="exact"/>
                        <w:ind w:left="0" w:firstLine="0"/>
                      </w:pPr>
                      <w:r w:rsidRPr="00BB2135">
                        <w:t>Hazardous Substances (Compressed Gases) Regulations 2004</w:t>
                      </w:r>
                    </w:p>
                    <w:p w:rsidR="00031061" w:rsidRPr="00BB2135" w:rsidRDefault="00031061" w:rsidP="00031061">
                      <w:pPr>
                        <w:numPr>
                          <w:ilvl w:val="0"/>
                          <w:numId w:val="1"/>
                        </w:numPr>
                        <w:tabs>
                          <w:tab w:val="clear" w:pos="720"/>
                        </w:tabs>
                        <w:spacing w:line="280" w:lineRule="exact"/>
                        <w:ind w:left="0" w:firstLine="0"/>
                      </w:pPr>
                      <w:r w:rsidRPr="00BB2135">
                        <w:t>Hazardous Substances (Tank Wagon and Transportable Containers) Regulations 2004</w:t>
                      </w:r>
                    </w:p>
                    <w:p w:rsidR="00031061" w:rsidRDefault="00031061" w:rsidP="00031061">
                      <w:pPr>
                        <w:pStyle w:val="NormalWeb"/>
                        <w:spacing w:before="0" w:after="0" w:line="280" w:lineRule="exact"/>
                      </w:pPr>
                    </w:p>
                    <w:p w:rsidR="00031061" w:rsidRDefault="00031061" w:rsidP="00031061">
                      <w:pPr>
                        <w:pStyle w:val="NormalWeb"/>
                        <w:spacing w:before="0" w:after="0" w:line="280" w:lineRule="exact"/>
                      </w:pPr>
                      <w:r w:rsidRPr="00BB2135">
                        <w:t xml:space="preserve">In addition to these regulations, a hazardous substance may also need to comply with other controls; for example, if the substance is flammable or is a liquid or gas stored in large tanks. These additional controls were first published in the Hazardous Substances (Dangerous Goods and Scheduled Toxic Substances) Transfer Notice 2004 (New Zealand Gazette, Issue No. 35, March 2004) as Schedules 8 to 10 and 12. </w:t>
                      </w:r>
                    </w:p>
                    <w:p w:rsidR="00031061" w:rsidRDefault="00031061" w:rsidP="00031061">
                      <w:pPr>
                        <w:pStyle w:val="NormalWeb"/>
                        <w:spacing w:before="0" w:after="0" w:line="280" w:lineRule="exact"/>
                      </w:pPr>
                      <w:bookmarkStart w:id="3" w:name="_GoBack"/>
                      <w:bookmarkEnd w:id="3"/>
                    </w:p>
                    <w:p w:rsidR="00031061" w:rsidRPr="00BB2135" w:rsidRDefault="00031061" w:rsidP="00031061">
                      <w:pPr>
                        <w:pStyle w:val="NormalWeb"/>
                        <w:spacing w:before="0" w:after="0" w:line="280" w:lineRule="exact"/>
                      </w:pPr>
                      <w:r w:rsidRPr="00BB2135">
                        <w:t xml:space="preserve">There have been subsequent amendments to this Gazette Notice which have been consolidated into one </w:t>
                      </w:r>
                      <w:r w:rsidRPr="00284BAE">
                        <w:rPr>
                          <w:color w:val="365F91"/>
                        </w:rPr>
                        <w:t>DOCUMENT</w:t>
                      </w:r>
                      <w:r w:rsidRPr="00BB2135">
                        <w:t>. (</w:t>
                      </w:r>
                      <w:proofErr w:type="gramStart"/>
                      <w:r w:rsidRPr="00BB2135">
                        <w:t>as</w:t>
                      </w:r>
                      <w:proofErr w:type="gramEnd"/>
                      <w:r w:rsidRPr="00BB2135">
                        <w:t xml:space="preserve"> per the link referred to in the Notes below)</w:t>
                      </w:r>
                    </w:p>
                    <w:p w:rsidR="00031061" w:rsidRDefault="00031061" w:rsidP="00031061">
                      <w:pPr>
                        <w:pStyle w:val="Default"/>
                      </w:pPr>
                    </w:p>
                    <w:p w:rsidR="00031061" w:rsidRDefault="00031061" w:rsidP="00031061">
                      <w:pPr>
                        <w:pStyle w:val="Default"/>
                      </w:pPr>
                      <w:r w:rsidRPr="00BB2135">
                        <w:rPr>
                          <w:b/>
                        </w:rPr>
                        <w:t>OVERVIEW OF THE DOCUMENT</w:t>
                      </w:r>
                      <w:r>
                        <w:t xml:space="preserve"> –</w:t>
                      </w:r>
                    </w:p>
                    <w:p w:rsidR="00031061" w:rsidRPr="002851EB" w:rsidRDefault="00031061" w:rsidP="00031061">
                      <w:pPr>
                        <w:pStyle w:val="Default"/>
                      </w:pPr>
                    </w:p>
                    <w:p w:rsidR="00031061" w:rsidRPr="00BB2135" w:rsidRDefault="00031061" w:rsidP="00031061">
                      <w:pPr>
                        <w:pStyle w:val="Default"/>
                        <w:jc w:val="center"/>
                        <w:rPr>
                          <w:b/>
                          <w:sz w:val="28"/>
                          <w:szCs w:val="48"/>
                        </w:rPr>
                      </w:pPr>
                      <w:r w:rsidRPr="00BB2135">
                        <w:rPr>
                          <w:b/>
                          <w:sz w:val="28"/>
                          <w:szCs w:val="48"/>
                        </w:rPr>
                        <w:t xml:space="preserve">Summary of Approvals of Substances transferred under the Hazardous Substances (Dangerous Goods and Scheduled Toxic Substances) Transfer Notice 2004 </w:t>
                      </w:r>
                      <w:r w:rsidRPr="00BB2135">
                        <w:rPr>
                          <w:b/>
                          <w:sz w:val="28"/>
                          <w:szCs w:val="48"/>
                        </w:rPr>
                        <w:br/>
                        <w:t>(As Amended)</w:t>
                      </w:r>
                    </w:p>
                    <w:p w:rsidR="00031061" w:rsidRPr="002851EB" w:rsidRDefault="00031061" w:rsidP="00031061">
                      <w:pPr>
                        <w:pStyle w:val="Default"/>
                        <w:jc w:val="center"/>
                        <w:rPr>
                          <w:sz w:val="10"/>
                          <w:szCs w:val="48"/>
                        </w:rPr>
                      </w:pPr>
                    </w:p>
                    <w:p w:rsidR="00031061" w:rsidRPr="002851EB" w:rsidRDefault="00031061" w:rsidP="00031061">
                      <w:pPr>
                        <w:pStyle w:val="Default"/>
                        <w:jc w:val="center"/>
                        <w:rPr>
                          <w:szCs w:val="48"/>
                        </w:rPr>
                      </w:pPr>
                      <w:r w:rsidRPr="002851EB">
                        <w:rPr>
                          <w:szCs w:val="48"/>
                        </w:rPr>
                        <w:t xml:space="preserve">As at 15 December 2008 </w:t>
                      </w:r>
                    </w:p>
                    <w:p w:rsidR="00031061" w:rsidRDefault="00031061" w:rsidP="00031061">
                      <w:pPr>
                        <w:pStyle w:val="Default"/>
                        <w:spacing w:before="240" w:after="40"/>
                        <w:jc w:val="both"/>
                        <w:rPr>
                          <w:sz w:val="20"/>
                          <w:szCs w:val="20"/>
                        </w:rPr>
                      </w:pPr>
                      <w:r>
                        <w:rPr>
                          <w:b/>
                          <w:bCs/>
                          <w:sz w:val="20"/>
                          <w:szCs w:val="20"/>
                        </w:rPr>
                        <w:t xml:space="preserve">NOTES: </w:t>
                      </w:r>
                    </w:p>
                    <w:p w:rsidR="00031061" w:rsidRPr="00BB2135" w:rsidRDefault="00031061" w:rsidP="00031061">
                      <w:pPr>
                        <w:pStyle w:val="Default"/>
                        <w:spacing w:before="240" w:after="40"/>
                        <w:jc w:val="both"/>
                        <w:rPr>
                          <w:bCs/>
                        </w:rPr>
                      </w:pPr>
                      <w:r w:rsidRPr="00BB2135">
                        <w:rPr>
                          <w:bCs/>
                        </w:rPr>
                        <w:t xml:space="preserve">This </w:t>
                      </w:r>
                      <w:hyperlink r:id="rId14" w:history="1">
                        <w:r w:rsidRPr="00BB2135">
                          <w:rPr>
                            <w:rStyle w:val="Hyperlink"/>
                            <w:bCs/>
                          </w:rPr>
                          <w:t>document</w:t>
                        </w:r>
                      </w:hyperlink>
                      <w:r w:rsidRPr="00BB2135">
                        <w:rPr>
                          <w:bCs/>
                        </w:rPr>
                        <w:t xml:space="preserve"> sets out the classifications, variation codes and controls relating to the substances approved under the HSNO Act by virtue of the Hazardous Substances (Dangerous Goods and Scheduled Toxic Substances) Transfer Notice 2004 (As Amended). It takes into account amendments made to the approvals and related controls contained in the Transfer Notice, made under section 67A of the HSNO Act. Those approvals which have been amended under section 67A are denoted by a superscript ‘s67A’. </w:t>
                      </w:r>
                    </w:p>
                    <w:p w:rsidR="00031061" w:rsidRPr="00BB2135" w:rsidRDefault="00031061" w:rsidP="00031061">
                      <w:pPr>
                        <w:pStyle w:val="Default"/>
                        <w:spacing w:after="40"/>
                        <w:jc w:val="both"/>
                        <w:rPr>
                          <w:sz w:val="2"/>
                        </w:rPr>
                      </w:pPr>
                    </w:p>
                    <w:p w:rsidR="00031061" w:rsidRDefault="00031061" w:rsidP="00031061">
                      <w:pPr>
                        <w:pStyle w:val="Default"/>
                        <w:spacing w:before="40"/>
                        <w:jc w:val="both"/>
                        <w:rPr>
                          <w:b/>
                          <w:bCs/>
                        </w:rPr>
                      </w:pPr>
                      <w:r w:rsidRPr="00BB2135">
                        <w:rPr>
                          <w:b/>
                          <w:bCs/>
                        </w:rPr>
                        <w:t xml:space="preserve">This document has been produced by ERMA New Zealand as an information resource only. </w:t>
                      </w:r>
                    </w:p>
                    <w:p w:rsidR="00031061" w:rsidRPr="00BB2135" w:rsidRDefault="00031061" w:rsidP="00031061">
                      <w:pPr>
                        <w:pStyle w:val="Default"/>
                        <w:spacing w:before="40"/>
                        <w:jc w:val="both"/>
                        <w:rPr>
                          <w:b/>
                          <w:bCs/>
                          <w:sz w:val="2"/>
                        </w:rPr>
                      </w:pPr>
                    </w:p>
                    <w:p w:rsidR="00031061" w:rsidRPr="00BB2135" w:rsidRDefault="00031061" w:rsidP="00031061">
                      <w:pPr>
                        <w:pStyle w:val="Default"/>
                        <w:spacing w:before="40"/>
                        <w:jc w:val="both"/>
                      </w:pPr>
                      <w:r w:rsidRPr="00BB2135">
                        <w:rPr>
                          <w:bCs/>
                        </w:rPr>
                        <w:t xml:space="preserve">ERMA New Zealand endeavours to keep this document accurate and up-to-date, but accepts no responsibility for any errors or omissions which may have occurred in its production. </w:t>
                      </w:r>
                    </w:p>
                    <w:p w:rsidR="00031061" w:rsidRPr="00BB2135" w:rsidRDefault="00031061" w:rsidP="00031061">
                      <w:pPr>
                        <w:pStyle w:val="Default"/>
                        <w:rPr>
                          <w:bCs/>
                        </w:rPr>
                      </w:pPr>
                      <w:r w:rsidRPr="00BB2135">
                        <w:rPr>
                          <w:bCs/>
                        </w:rPr>
                        <w:t xml:space="preserve">If you would like a copy of a section 67A decision document or need further information in respect to any amendment to an approval referred to in this document, please contact ERMA New Zealand using the </w:t>
                      </w:r>
                      <w:hyperlink r:id="rId15" w:history="1">
                        <w:r w:rsidRPr="00BB2135">
                          <w:rPr>
                            <w:rStyle w:val="Hyperlink"/>
                            <w:bCs/>
                          </w:rPr>
                          <w:t>Contact Us</w:t>
                        </w:r>
                      </w:hyperlink>
                      <w:r w:rsidRPr="00BB2135">
                        <w:rPr>
                          <w:bCs/>
                        </w:rPr>
                        <w:t xml:space="preserve">  page on the ERMA website. </w:t>
                      </w:r>
                    </w:p>
                    <w:bookmarkEnd w:id="2"/>
                    <w:p w:rsidR="00031061" w:rsidRDefault="00031061"/>
                  </w:txbxContent>
                </v:textbox>
              </v:shape>
            </w:pict>
          </mc:Fallback>
        </mc:AlternateContent>
      </w:r>
    </w:p>
    <w:sectPr w:rsidR="00BB2135" w:rsidSect="002851EB">
      <w:pgSz w:w="11906" w:h="16838"/>
      <w:pgMar w:top="568" w:right="1133" w:bottom="56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243D9D"/>
    <w:multiLevelType w:val="multilevel"/>
    <w:tmpl w:val="E11E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0E3"/>
    <w:rsid w:val="00031061"/>
    <w:rsid w:val="00130DB4"/>
    <w:rsid w:val="001840E3"/>
    <w:rsid w:val="001D37D3"/>
    <w:rsid w:val="001F2AE7"/>
    <w:rsid w:val="002851EB"/>
    <w:rsid w:val="002D4530"/>
    <w:rsid w:val="00424610"/>
    <w:rsid w:val="00437344"/>
    <w:rsid w:val="00460B1F"/>
    <w:rsid w:val="00627A66"/>
    <w:rsid w:val="006601EE"/>
    <w:rsid w:val="00693B8A"/>
    <w:rsid w:val="007354C8"/>
    <w:rsid w:val="007A19DB"/>
    <w:rsid w:val="00860BD2"/>
    <w:rsid w:val="009E48AB"/>
    <w:rsid w:val="00B46015"/>
    <w:rsid w:val="00BB2135"/>
    <w:rsid w:val="00BC624B"/>
    <w:rsid w:val="00D14174"/>
    <w:rsid w:val="00E3615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40E3"/>
    <w:pPr>
      <w:autoSpaceDE w:val="0"/>
      <w:autoSpaceDN w:val="0"/>
      <w:adjustRightInd w:val="0"/>
    </w:pPr>
    <w:rPr>
      <w:color w:val="000000"/>
      <w:sz w:val="24"/>
      <w:szCs w:val="24"/>
    </w:rPr>
  </w:style>
  <w:style w:type="paragraph" w:customStyle="1" w:styleId="aFrontPage">
    <w:name w:val="a_FrontPage"/>
    <w:basedOn w:val="Default"/>
    <w:next w:val="Default"/>
    <w:uiPriority w:val="99"/>
    <w:rsid w:val="001840E3"/>
    <w:rPr>
      <w:color w:val="auto"/>
    </w:rPr>
  </w:style>
  <w:style w:type="character" w:styleId="Hyperlink">
    <w:name w:val="Hyperlink"/>
    <w:basedOn w:val="DefaultParagraphFont"/>
    <w:rsid w:val="001840E3"/>
    <w:rPr>
      <w:color w:val="0000FF" w:themeColor="hyperlink"/>
      <w:u w:val="single"/>
    </w:rPr>
  </w:style>
  <w:style w:type="character" w:styleId="FollowedHyperlink">
    <w:name w:val="FollowedHyperlink"/>
    <w:basedOn w:val="DefaultParagraphFont"/>
    <w:rsid w:val="001840E3"/>
    <w:rPr>
      <w:color w:val="800080" w:themeColor="followedHyperlink"/>
      <w:u w:val="single"/>
    </w:rPr>
  </w:style>
  <w:style w:type="paragraph" w:styleId="BalloonText">
    <w:name w:val="Balloon Text"/>
    <w:basedOn w:val="Normal"/>
    <w:link w:val="BalloonTextChar"/>
    <w:rsid w:val="002851EB"/>
    <w:rPr>
      <w:rFonts w:ascii="Tahoma" w:hAnsi="Tahoma" w:cs="Tahoma"/>
      <w:sz w:val="16"/>
      <w:szCs w:val="16"/>
    </w:rPr>
  </w:style>
  <w:style w:type="character" w:customStyle="1" w:styleId="BalloonTextChar">
    <w:name w:val="Balloon Text Char"/>
    <w:basedOn w:val="DefaultParagraphFont"/>
    <w:link w:val="BalloonText"/>
    <w:rsid w:val="002851EB"/>
    <w:rPr>
      <w:rFonts w:ascii="Tahoma" w:hAnsi="Tahoma" w:cs="Tahoma"/>
      <w:sz w:val="16"/>
      <w:szCs w:val="16"/>
      <w:lang w:val="en-GB" w:eastAsia="en-GB"/>
    </w:rPr>
  </w:style>
  <w:style w:type="paragraph" w:styleId="NormalWeb">
    <w:name w:val="Normal (Web)"/>
    <w:basedOn w:val="Normal"/>
    <w:uiPriority w:val="99"/>
    <w:unhideWhenUsed/>
    <w:rsid w:val="002851EB"/>
    <w:pPr>
      <w:spacing w:before="120" w:after="240"/>
    </w:pPr>
    <w:rPr>
      <w:lang w:val="en-NZ"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40E3"/>
    <w:pPr>
      <w:autoSpaceDE w:val="0"/>
      <w:autoSpaceDN w:val="0"/>
      <w:adjustRightInd w:val="0"/>
    </w:pPr>
    <w:rPr>
      <w:color w:val="000000"/>
      <w:sz w:val="24"/>
      <w:szCs w:val="24"/>
    </w:rPr>
  </w:style>
  <w:style w:type="paragraph" w:customStyle="1" w:styleId="aFrontPage">
    <w:name w:val="a_FrontPage"/>
    <w:basedOn w:val="Default"/>
    <w:next w:val="Default"/>
    <w:uiPriority w:val="99"/>
    <w:rsid w:val="001840E3"/>
    <w:rPr>
      <w:color w:val="auto"/>
    </w:rPr>
  </w:style>
  <w:style w:type="character" w:styleId="Hyperlink">
    <w:name w:val="Hyperlink"/>
    <w:basedOn w:val="DefaultParagraphFont"/>
    <w:rsid w:val="001840E3"/>
    <w:rPr>
      <w:color w:val="0000FF" w:themeColor="hyperlink"/>
      <w:u w:val="single"/>
    </w:rPr>
  </w:style>
  <w:style w:type="character" w:styleId="FollowedHyperlink">
    <w:name w:val="FollowedHyperlink"/>
    <w:basedOn w:val="DefaultParagraphFont"/>
    <w:rsid w:val="001840E3"/>
    <w:rPr>
      <w:color w:val="800080" w:themeColor="followedHyperlink"/>
      <w:u w:val="single"/>
    </w:rPr>
  </w:style>
  <w:style w:type="paragraph" w:styleId="BalloonText">
    <w:name w:val="Balloon Text"/>
    <w:basedOn w:val="Normal"/>
    <w:link w:val="BalloonTextChar"/>
    <w:rsid w:val="002851EB"/>
    <w:rPr>
      <w:rFonts w:ascii="Tahoma" w:hAnsi="Tahoma" w:cs="Tahoma"/>
      <w:sz w:val="16"/>
      <w:szCs w:val="16"/>
    </w:rPr>
  </w:style>
  <w:style w:type="character" w:customStyle="1" w:styleId="BalloonTextChar">
    <w:name w:val="Balloon Text Char"/>
    <w:basedOn w:val="DefaultParagraphFont"/>
    <w:link w:val="BalloonText"/>
    <w:rsid w:val="002851EB"/>
    <w:rPr>
      <w:rFonts w:ascii="Tahoma" w:hAnsi="Tahoma" w:cs="Tahoma"/>
      <w:sz w:val="16"/>
      <w:szCs w:val="16"/>
      <w:lang w:val="en-GB" w:eastAsia="en-GB"/>
    </w:rPr>
  </w:style>
  <w:style w:type="paragraph" w:styleId="NormalWeb">
    <w:name w:val="Normal (Web)"/>
    <w:basedOn w:val="Normal"/>
    <w:uiPriority w:val="99"/>
    <w:unhideWhenUsed/>
    <w:rsid w:val="002851EB"/>
    <w:pPr>
      <w:spacing w:before="120" w:after="240"/>
    </w:pPr>
    <w:rPr>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618824">
      <w:bodyDiv w:val="1"/>
      <w:marLeft w:val="0"/>
      <w:marRight w:val="0"/>
      <w:marTop w:val="0"/>
      <w:marBottom w:val="0"/>
      <w:divBdr>
        <w:top w:val="none" w:sz="0" w:space="0" w:color="auto"/>
        <w:left w:val="none" w:sz="0" w:space="0" w:color="auto"/>
        <w:bottom w:val="none" w:sz="0" w:space="0" w:color="auto"/>
        <w:right w:val="none" w:sz="0" w:space="0" w:color="auto"/>
      </w:divBdr>
      <w:divsChild>
        <w:div w:id="2004308532">
          <w:marLeft w:val="0"/>
          <w:marRight w:val="0"/>
          <w:marTop w:val="0"/>
          <w:marBottom w:val="0"/>
          <w:divBdr>
            <w:top w:val="none" w:sz="0" w:space="0" w:color="auto"/>
            <w:left w:val="none" w:sz="0" w:space="0" w:color="auto"/>
            <w:bottom w:val="none" w:sz="0" w:space="0" w:color="auto"/>
            <w:right w:val="none" w:sz="0" w:space="0" w:color="auto"/>
          </w:divBdr>
          <w:divsChild>
            <w:div w:id="1315138387">
              <w:marLeft w:val="1500"/>
              <w:marRight w:val="0"/>
              <w:marTop w:val="0"/>
              <w:marBottom w:val="0"/>
              <w:divBdr>
                <w:top w:val="none" w:sz="0" w:space="0" w:color="auto"/>
                <w:left w:val="none" w:sz="0" w:space="0" w:color="auto"/>
                <w:bottom w:val="none" w:sz="0" w:space="0" w:color="auto"/>
                <w:right w:val="none" w:sz="0" w:space="0" w:color="auto"/>
              </w:divBdr>
              <w:divsChild>
                <w:div w:id="198083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co.nz/browse_vw.asp?content-set=pal_regs" TargetMode="External"/><Relationship Id="rId13" Type="http://schemas.openxmlformats.org/officeDocument/2006/relationships/hyperlink" Target="http://www.legislation.co.nz/"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legislation.co.nz/browse_vw.asp?content-set=pal_reg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ermanz.govt.nz/" TargetMode="External"/><Relationship Id="rId11" Type="http://schemas.openxmlformats.org/officeDocument/2006/relationships/hyperlink" Target="http://www.ermanz.govt.nz/hs/transfer/Summaries/DG%20&amp;%20STS%20-%20Summary%20of%20Approvals%20_2008.08.19_.pdf" TargetMode="External"/><Relationship Id="rId5" Type="http://schemas.openxmlformats.org/officeDocument/2006/relationships/webSettings" Target="webSettings.xml"/><Relationship Id="rId15" Type="http://schemas.openxmlformats.org/officeDocument/2006/relationships/hyperlink" Target="http://www.ermanz.govt.nz/hs/transfer/Summaries/DG%20&amp;%20STS%20-%20Summary%20of%20Approvals%20_2008.08.19_.pdf" TargetMode="External"/><Relationship Id="rId10" Type="http://schemas.openxmlformats.org/officeDocument/2006/relationships/hyperlink" Target="http://www.ermanz.govt.nz/hs/transfer/Summaries/DG%20&amp;%20STS%20-%20Summary%20of%20Approvals%20_2008.08.19_.pdf" TargetMode="External"/><Relationship Id="rId4" Type="http://schemas.openxmlformats.org/officeDocument/2006/relationships/settings" Target="settings.xml"/><Relationship Id="rId9" Type="http://schemas.openxmlformats.org/officeDocument/2006/relationships/hyperlink" Target="http://www.legislation.co.nz/" TargetMode="External"/><Relationship Id="rId14" Type="http://schemas.openxmlformats.org/officeDocument/2006/relationships/hyperlink" Target="http://www.ermanz.govt.nz/hs/transfer/Summaries/DG%20&amp;%20STS%20-%20Summary%20of%20Approvals%20_2008.08.19_.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Envirohaz</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Trish Jones</cp:lastModifiedBy>
  <cp:revision>5</cp:revision>
  <dcterms:created xsi:type="dcterms:W3CDTF">2010-09-07T02:38:00Z</dcterms:created>
  <dcterms:modified xsi:type="dcterms:W3CDTF">2011-03-23T03:20:00Z</dcterms:modified>
</cp:coreProperties>
</file>